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8D" w:rsidRPr="00BC648E" w:rsidRDefault="00071A8D" w:rsidP="00071A8D">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lastRenderedPageBreak/>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товаров за </w:t>
      </w:r>
      <w:r w:rsidRPr="00DA4198">
        <w:rPr>
          <w:color w:val="000000"/>
          <w:sz w:val="28"/>
          <w:szCs w:val="28"/>
          <w:lang w:bidi="ru-RU"/>
        </w:rPr>
        <w:lastRenderedPageBreak/>
        <w:t>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 xml:space="preserve">Достигнутый результат удалось </w:t>
      </w:r>
      <w:r w:rsidR="00FB15AE">
        <w:rPr>
          <w:sz w:val="28"/>
          <w:szCs w:val="28"/>
        </w:rPr>
        <w:lastRenderedPageBreak/>
        <w:t>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lastRenderedPageBreak/>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xml:space="preserve">, </w:t>
      </w:r>
      <w:r w:rsidRPr="00770AA1">
        <w:rPr>
          <w:sz w:val="28"/>
          <w:szCs w:val="28"/>
        </w:rPr>
        <w:lastRenderedPageBreak/>
        <w:t>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 xml:space="preserve">со Стратегией развития индустрии детских товаров на период до </w:t>
      </w:r>
      <w:r w:rsidRPr="005A2068">
        <w:rPr>
          <w:sz w:val="28"/>
          <w:szCs w:val="28"/>
        </w:rPr>
        <w:lastRenderedPageBreak/>
        <w:t>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 xml:space="preserve">Увеличение экспорта российских игрушек связано с ростом объема российского производства. С 2014 по 2019 год объем российского </w:t>
      </w:r>
      <w:r w:rsidRPr="005A2068">
        <w:rPr>
          <w:rFonts w:eastAsia="Calibri"/>
          <w:color w:val="000000"/>
          <w:sz w:val="28"/>
          <w:szCs w:val="28"/>
        </w:rPr>
        <w:lastRenderedPageBreak/>
        <w:t>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drawing>
          <wp:inline distT="0" distB="0" distL="0" distR="0">
            <wp:extent cx="6677025" cy="4705350"/>
            <wp:effectExtent l="0" t="0" r="0" b="0"/>
            <wp:docPr id="3" name="Диаграмма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1" w:name="_Toc536102396"/>
    </w:p>
    <w:bookmarkEnd w:id="1"/>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 xml:space="preserve">и деревообрабатывающая промышленность (одежда, обувь, мягкие игрушки, </w:t>
      </w:r>
      <w:r w:rsidRPr="005A2068">
        <w:rPr>
          <w:rFonts w:eastAsia="Calibri"/>
          <w:color w:val="000000"/>
          <w:sz w:val="28"/>
          <w:szCs w:val="28"/>
        </w:rPr>
        <w:lastRenderedPageBreak/>
        <w:t>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созданию производства, основанного на собственной современной </w:t>
      </w:r>
      <w:r w:rsidRPr="005A2068">
        <w:rPr>
          <w:rFonts w:eastAsia="Calibri"/>
          <w:color w:val="000000"/>
          <w:sz w:val="28"/>
          <w:szCs w:val="28"/>
        </w:rPr>
        <w:lastRenderedPageBreak/>
        <w:t>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 xml:space="preserve">в рамках макета школьного класса, поделенного на несколько </w:t>
      </w:r>
      <w:r w:rsidRPr="005A2068">
        <w:rPr>
          <w:rFonts w:eastAsia="Calibri"/>
          <w:color w:val="000000"/>
          <w:sz w:val="28"/>
          <w:szCs w:val="28"/>
        </w:rPr>
        <w:lastRenderedPageBreak/>
        <w:t>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w:t>
      </w:r>
      <w:r w:rsidRPr="005A2068">
        <w:rPr>
          <w:rFonts w:eastAsia="Calibri"/>
          <w:color w:val="000000"/>
          <w:sz w:val="28"/>
          <w:szCs w:val="28"/>
        </w:rPr>
        <w:lastRenderedPageBreak/>
        <w:t xml:space="preserve">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w:t>
      </w:r>
      <w:r w:rsidRPr="005A2068">
        <w:rPr>
          <w:rFonts w:eastAsia="Calibri"/>
          <w:color w:val="000000"/>
          <w:sz w:val="28"/>
          <w:szCs w:val="28"/>
        </w:rPr>
        <w:lastRenderedPageBreak/>
        <w:t xml:space="preserve">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w:t>
      </w:r>
      <w:r w:rsidRPr="005A2068">
        <w:rPr>
          <w:rFonts w:eastAsia="Calibri"/>
          <w:color w:val="000000"/>
          <w:sz w:val="28"/>
          <w:szCs w:val="28"/>
        </w:rPr>
        <w:lastRenderedPageBreak/>
        <w:t>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lastRenderedPageBreak/>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Также российское гражданство приобрели 455 детей (-24,5%), над </w:t>
      </w:r>
      <w:r>
        <w:rPr>
          <w:rFonts w:ascii="Times New Roman" w:eastAsia="Times New Roman" w:hAnsi="Times New Roman" w:cs="Times New Roman"/>
          <w:color w:val="000000"/>
          <w:lang w:eastAsia="ru-RU" w:bidi="ru-RU"/>
        </w:rPr>
        <w:lastRenderedPageBreak/>
        <w:t>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w:t>
      </w:r>
      <w:r>
        <w:rPr>
          <w:rFonts w:ascii="Times New Roman" w:eastAsia="Times New Roman" w:hAnsi="Times New Roman" w:cs="Times New Roman"/>
          <w:color w:val="000000"/>
          <w:lang w:eastAsia="ru-RU" w:bidi="ru-RU"/>
        </w:rPr>
        <w:lastRenderedPageBreak/>
        <w:t>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lastRenderedPageBreak/>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lastRenderedPageBreak/>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w:t>
      </w:r>
      <w:r w:rsidRPr="00341527">
        <w:rPr>
          <w:sz w:val="28"/>
          <w:szCs w:val="28"/>
        </w:rPr>
        <w:lastRenderedPageBreak/>
        <w:t>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w:t>
      </w:r>
      <w:r w:rsidRPr="009D0085">
        <w:rPr>
          <w:rStyle w:val="CharStyle5"/>
          <w:rFonts w:ascii="Times New Roman" w:hAnsi="Times New Roman" w:cs="Times New Roman"/>
          <w:color w:val="000000"/>
        </w:rPr>
        <w:lastRenderedPageBreak/>
        <w:t xml:space="preserve">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lastRenderedPageBreak/>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 xml:space="preserve">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w:t>
      </w:r>
      <w:r w:rsidRPr="00B55DB0">
        <w:rPr>
          <w:sz w:val="28"/>
          <w:szCs w:val="28"/>
        </w:rPr>
        <w:lastRenderedPageBreak/>
        <w:t>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 xml:space="preserve">в 2019 году показал прогрессивный рост </w:t>
      </w:r>
      <w:r w:rsidRPr="00566992">
        <w:rPr>
          <w:rStyle w:val="CharStyle5"/>
          <w:rFonts w:ascii="Times New Roman" w:hAnsi="Times New Roman" w:cs="Times New Roman"/>
          <w:color w:val="000000"/>
        </w:rPr>
        <w:lastRenderedPageBreak/>
        <w:t>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92"/>
        <w:gridCol w:w="3815"/>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2017 г. – 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2017 г. – 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бюджетам субъектов 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ВИЧ-инфицированных беременных химиопрофилактикой,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хвачены горячими завтраками, 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(с 7% 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52"/>
        <w:gridCol w:w="2331"/>
        <w:gridCol w:w="2331"/>
        <w:gridCol w:w="2331"/>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4 129 тьюторов и 697 ассистентов (помощников).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9 443 человека (77,8%)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ания лиц с 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соревнованиях по 12 компетенциям (9 основные и 3 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2983"/>
        <w:gridCol w:w="1590"/>
        <w:gridCol w:w="1592"/>
        <w:gridCol w:w="1590"/>
        <w:gridCol w:w="1590"/>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В региональном 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на представления была обеспечена 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Всего в 2019 году временным трудоустройством в свободное от учебы время охвачены 13,5 тыс. несовершеннолетних в возрасте от 14 до 18 лет, из 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Реализация в 2019 году указанных решений способствовала 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несовершеннолетних и защите их прав неразрывно связано с 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тяжести. В то же время увеличилось 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из них 34,8 тыс. помещены в учреждения системы профилактики безнадзорности и 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617"/>
        <w:gridCol w:w="1373"/>
        <w:gridCol w:w="1431"/>
        <w:gridCol w:w="1625"/>
        <w:gridCol w:w="135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335"/>
        <w:gridCol w:w="1786"/>
        <w:gridCol w:w="1749"/>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58"/>
        <w:gridCol w:w="3362"/>
        <w:gridCol w:w="3368"/>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387"/>
        <w:gridCol w:w="2387"/>
        <w:gridCol w:w="2062"/>
        <w:gridCol w:w="1920"/>
        <w:gridCol w:w="2099"/>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01"/>
        <w:gridCol w:w="1399"/>
        <w:gridCol w:w="1399"/>
        <w:gridCol w:w="1397"/>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53"/>
        <w:gridCol w:w="1668"/>
        <w:gridCol w:w="1668"/>
        <w:gridCol w:w="1666"/>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69"/>
        <w:gridCol w:w="1569"/>
        <w:gridCol w:w="1569"/>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465"/>
        <w:gridCol w:w="1465"/>
        <w:gridCol w:w="1463"/>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gridCol w:w="1256"/>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747"/>
        <w:gridCol w:w="1853"/>
        <w:gridCol w:w="1853"/>
        <w:gridCol w:w="1853"/>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01"/>
        <w:gridCol w:w="2082"/>
        <w:gridCol w:w="2082"/>
        <w:gridCol w:w="2082"/>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1397"/>
        <w:gridCol w:w="1397"/>
        <w:gridCol w:w="139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4B2169"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4B2169"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4B2169"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72"/>
        <w:gridCol w:w="1141"/>
        <w:gridCol w:w="1156"/>
        <w:gridCol w:w="1150"/>
        <w:gridCol w:w="970"/>
        <w:gridCol w:w="833"/>
        <w:gridCol w:w="837"/>
        <w:gridCol w:w="92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983"/>
        <w:gridCol w:w="1003"/>
        <w:gridCol w:w="1103"/>
        <w:gridCol w:w="1095"/>
        <w:gridCol w:w="877"/>
        <w:gridCol w:w="744"/>
        <w:gridCol w:w="822"/>
        <w:gridCol w:w="779"/>
        <w:gridCol w:w="838"/>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807AA9" w:rsidRPr="00E6744E" w:rsidRDefault="00807AA9" w:rsidP="00807AA9">
            <w:pPr>
              <w:jc w:val="center"/>
            </w:pPr>
            <w:r>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беременные женщины и кормящие матери</w:t>
            </w:r>
          </w:p>
        </w:tc>
        <w:tc>
          <w:tcPr>
            <w:tcW w:w="1276" w:type="dxa"/>
            <w:shd w:val="clear" w:color="auto" w:fill="auto"/>
            <w:vAlign w:val="bottom"/>
          </w:tcPr>
          <w:p w:rsidR="00C71D1F" w:rsidRPr="00372E58" w:rsidRDefault="00C71D1F" w:rsidP="00C71D1F">
            <w:pPr>
              <w:jc w:val="center"/>
            </w:pPr>
            <w:r w:rsidRPr="00372E58">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69" w:rsidRDefault="004B2169" w:rsidP="0087728D">
      <w:r>
        <w:separator/>
      </w:r>
    </w:p>
  </w:endnote>
  <w:endnote w:type="continuationSeparator" w:id="0">
    <w:p w:rsidR="004B2169" w:rsidRDefault="004B2169"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D735A2">
          <w:rPr>
            <w:noProof/>
          </w:rPr>
          <w:t>33</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EB1720">
      <w:rPr>
        <w:noProof/>
      </w:rPr>
      <w:t>417</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69" w:rsidRDefault="004B2169" w:rsidP="0087728D">
      <w:r>
        <w:separator/>
      </w:r>
    </w:p>
  </w:footnote>
  <w:footnote w:type="continuationSeparator" w:id="0">
    <w:p w:rsidR="004B2169" w:rsidRDefault="004B2169"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15:restartNumberingAfterBreak="0">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15:restartNumberingAfterBreak="0">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2169"/>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5A2"/>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E979AF6-84A5-446E-B631-6703DCE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let.worldskills.ru/"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0" Type="http://schemas.openxmlformats.org/officeDocument/2006/relationships/hyperlink" Target="http://www.meloman.ru/kids/concerts/?kids_age=9-12"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CE87-370F-4099-937D-F7D0C103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Евгения Олеговна</dc:creator>
  <cp:keywords/>
  <dc:description/>
  <cp:lastModifiedBy>Северина Людмила Владимировна</cp:lastModifiedBy>
  <cp:revision>2</cp:revision>
  <cp:lastPrinted>2021-01-12T12:52:00Z</cp:lastPrinted>
  <dcterms:created xsi:type="dcterms:W3CDTF">2021-01-20T05:24:00Z</dcterms:created>
  <dcterms:modified xsi:type="dcterms:W3CDTF">2021-01-20T05:24:00Z</dcterms:modified>
</cp:coreProperties>
</file>